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SAPCC Board Meeting</w:t>
      </w:r>
    </w:p>
    <w:p w:rsidR="00000000" w:rsidDel="00000000" w:rsidP="00000000" w:rsidRDefault="00000000" w:rsidRPr="00000000">
      <w:pPr>
        <w:contextualSpacing w:val="0"/>
        <w:jc w:val="center"/>
      </w:pPr>
      <w:r w:rsidDel="00000000" w:rsidR="00000000" w:rsidRPr="00000000">
        <w:rPr>
          <w:rtl w:val="0"/>
        </w:rPr>
        <w:t xml:space="preserve">August 2015</w:t>
      </w:r>
    </w:p>
    <w:p w:rsidR="00000000" w:rsidDel="00000000" w:rsidP="00000000" w:rsidRDefault="00000000" w:rsidRPr="00000000">
      <w:pPr>
        <w:contextualSpacing w:val="0"/>
      </w:pPr>
      <w:r w:rsidDel="00000000" w:rsidR="00000000" w:rsidRPr="00000000">
        <w:rPr>
          <w:rtl w:val="0"/>
        </w:rPr>
        <w:t xml:space="preserve">In Attendance: Kathryn Murray, Wanjiru Mugo, Ray Bryan, Alex Susko, Michael Russelle, Amanda Yang, Mimi Jennings, Matt Hass</w:t>
      </w:r>
    </w:p>
    <w:p w:rsidR="00000000" w:rsidDel="00000000" w:rsidP="00000000" w:rsidRDefault="00000000" w:rsidRPr="00000000">
      <w:pPr>
        <w:contextualSpacing w:val="0"/>
      </w:pPr>
      <w:r w:rsidDel="00000000" w:rsidR="00000000" w:rsidRPr="00000000">
        <w:rPr>
          <w:rtl w:val="0"/>
        </w:rPr>
        <w:t xml:space="preserve">Staff: Cailin Rogers, Suyapa Miranda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6945"/>
        <w:tblGridChange w:id="0">
          <w:tblGrid>
            <w:gridCol w:w="2415"/>
            <w:gridCol w:w="6945"/>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Consent Agenda/Minutes</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rtl w:val="0"/>
              </w:rPr>
              <w:t xml:space="preserve">Michael moved to approve the minutes and consent agenda. Ray seconded. The motion passed unanimously.</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Committee Chair Updates</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Kathryn shared the Land Use Committee’s updates, especially the passage of a motion to support Meridian Behavioral Health moving into the neighborhood and the presentation of Luther Seminary and Ecumen at the last Land Use meeting. Matt shared that the Environment Committee didn’t have pressing updates. Ray shared Transportation’s updates on Raymond Avenue project phases 2 &amp; 3. </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Cinnabar LLC Pipeline Discussion</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The board reviewed the map of the proposed pipeline on the land that the Community Council owns that also houses the Community Garden. The board discussed not having enough information or time with the materials to make a decision on the pipeline and asked that the Environment Committee meet on the topic. </w:t>
            </w:r>
            <w:r w:rsidDel="00000000" w:rsidR="00000000" w:rsidRPr="00000000">
              <w:rPr>
                <w:b w:val="1"/>
                <w:rtl w:val="0"/>
              </w:rPr>
              <w:t xml:space="preserve">Kathryn moved that we hire a lawyer, paid for by BNSF, to put the proposal into more clear language to present to the Environment and Executive Committees. Alex seconded the motion and added that the lawyer would get clarity on the project purpose and background, including what exactly would pass through the pipeline. The motion passed unanimously.</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Heart in the Zone--a SAP proposal</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Michael presented to the board a draft of the Knight Green Line Challenge grant proposal he and others in SAP were working on as finalists in the challenge. He asked for support from the board to help the proposal compete for funding in the final stage of the grant submission. </w:t>
            </w:r>
            <w:r w:rsidDel="00000000" w:rsidR="00000000" w:rsidRPr="00000000">
              <w:rPr>
                <w:b w:val="1"/>
                <w:rtl w:val="0"/>
              </w:rPr>
              <w:t xml:space="preserve">Mimi moved to support the “Heart in the Zone” proposal. Kathryn seconded. The vote was unanimous, although Michael abstained from voting due to his involvement with the project.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Financial Statements Review</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Suyapa provided financial statements to the board. The board asked that we discuss the financial statements in more depth at the next board meeting. Suyapa clarified that these statements are a snapshot and don’t show the incoming grant from UMN for the Raymond Ave. plantings. </w:t>
            </w:r>
            <w:r w:rsidDel="00000000" w:rsidR="00000000" w:rsidRPr="00000000">
              <w:rPr>
                <w:b w:val="1"/>
                <w:rtl w:val="0"/>
              </w:rPr>
              <w:t xml:space="preserve">Ray moved to approve the 9-90 Attorney General Annual Report. Mimi seconded. The motion passed unanimously.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Staff Updates</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Staff updated the board about the search for new space. The space at the Hampden Park Co-op has potential; conversations with the Co-op are on-going, although we would hold board meetings elsewhere because there wouldn’t be enough space for everyone at the Co-op space. Suyapa will report back when she has more information. SAPCC’s proposal for the Knight Green Line Challenge was selected as a final proposal. We will hear back in September. </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Elections</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We will set a date for the annual meeting soon--it will be held in late October or perhaps the first week of November. We will put it in the Bugle and publicise it otherwise (Facebook, the website) as well. Matt, Wanjiru, and Suyapa will work on setting the date. </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Adjourn</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Adjourn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450" w:top="45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