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Equity Committee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February 5, 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9:00am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 Attendance: Scott Simmons, Max Herzberg, Ian Luby, John Mark Lucas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Staff: Cailin Rogers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committee reviewed the map that Amanda has been working on. The group asked if staff can create a fact sheet based off of the demographic information we’ve retrieved.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group reviewed the diversity consultant credentials and asked for Suyapa to move forward on getting prices for the training and to get it on the calendar.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group set goals for 2016: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a demographic snapshot of the neighborhood.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Engage the Council in a cultural competency training by the end of second quarter.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Determine the expectations for Community Council involvement. Who needs to participate?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Engage historically underrepresented groups in St. Anthony Park.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Identify and connect with three groups this year. (ex. Hampden Park housing, Seal Hi-Rise residents, shift workers)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Host cross-community events quarterly.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Identify equity partners in the neighborhood working on these issues already.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an Equity Committee presence at as many community events as possible. Seek out events that SAPCC does not usually attend.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the door to the Equity Committee. Gain diverse representation. Get more members from different communities, including, but not limited to: LGBT, senior citizens, business representatives, nonprofits, the Tibetan center, Midway employers, racially diverse communities, youth.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the door of the neighborhood to people of color owned businesses.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Explore food pantry options. Expand food options for lower income residents.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 into the Blue Cross/Blue Shield grant.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Explore other partnerships to develop this project.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